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11" w:after="0"/>
        <w:rPr>
          <w:sz w:val="26"/>
        </w:rPr>
      </w:pPr>
      <w:r>
        <w:rPr>
          <w:sz w:val="26"/>
        </w:rPr>
      </w:r>
    </w:p>
    <w:p>
      <w:pPr>
        <w:pStyle w:val="Corpodeltesto"/>
        <w:ind w:left="4160" w:hanging="0"/>
        <w:rPr/>
      </w:pPr>
      <w:r>
        <w:rPr/>
        <w:drawing>
          <wp:inline distT="0" distB="0" distL="0" distR="0">
            <wp:extent cx="898525" cy="89725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Corpodeltesto"/>
        <w:spacing w:before="1" w:after="0"/>
        <w:rPr>
          <w:sz w:val="10"/>
        </w:rPr>
      </w:pPr>
      <w:r>
        <w:rPr>
          <w:sz w:val="10"/>
        </w:rPr>
      </w:r>
    </w:p>
    <w:p>
      <w:pPr>
        <w:pStyle w:val="Titoloprincipale"/>
        <w:jc w:val="center"/>
        <w:rPr/>
      </w:pPr>
      <w:r>
        <w:rPr>
          <w:spacing w:val="-5"/>
        </w:rPr>
        <w:t>CITTA’</w:t>
      </w:r>
      <w:r>
        <w:rPr>
          <w:spacing w:val="-26"/>
        </w:rPr>
        <w:t xml:space="preserve"> </w:t>
      </w:r>
      <w:r>
        <w:rPr>
          <w:spacing w:val="-4"/>
        </w:rPr>
        <w:t>DI</w:t>
      </w:r>
      <w:r>
        <w:rPr/>
        <w:t xml:space="preserve"> </w:t>
      </w:r>
      <w:r>
        <w:rPr>
          <w:spacing w:val="-4"/>
        </w:rPr>
        <w:t>MONOPOLI</w:t>
      </w:r>
    </w:p>
    <w:p>
      <w:pPr>
        <w:pStyle w:val="Normal"/>
        <w:widowControl w:val="false"/>
        <w:suppressAutoHyphens w:val="true"/>
        <w:overflowPunct w:val="true"/>
        <w:bidi w:val="0"/>
        <w:ind w:left="0" w:right="510" w:hanging="0"/>
        <w:jc w:val="center"/>
        <w:rPr>
          <w:sz w:val="22"/>
          <w:szCs w:val="22"/>
        </w:rPr>
      </w:pPr>
      <w:bookmarkStart w:id="1" w:name="settore_proponente"/>
      <w:r>
        <w:rPr>
          <w:rFonts w:ascii="Arial" w:hAnsi="Arial"/>
          <w:b/>
          <w:sz w:val="22"/>
          <w:szCs w:val="22"/>
        </w:rPr>
        <w:t>A.O. V - PUBBLICA ISTRUZIONE, SPORT SERVIZI SOCIALI</w:t>
      </w:r>
      <w:bookmarkEnd w:id="1"/>
      <w:r>
        <w:rPr>
          <w:rFonts w:ascii="Arial" w:hAnsi="Arial"/>
          <w:b/>
          <w:sz w:val="22"/>
          <w:szCs w:val="22"/>
        </w:rPr>
        <w:t xml:space="preserve"> E POLITICHE ABITATIVE</w:t>
      </w:r>
    </w:p>
    <w:p>
      <w:pPr>
        <w:pStyle w:val="Normal"/>
        <w:ind w:left="2103" w:right="2113" w:hanging="0"/>
        <w:jc w:val="center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Normal"/>
        <w:ind w:left="2103" w:right="2113" w:hanging="0"/>
        <w:jc w:val="center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Normal"/>
        <w:ind w:left="2103" w:right="2113" w:hanging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pacing w:val="-9"/>
          <w:sz w:val="28"/>
          <w:szCs w:val="28"/>
        </w:rPr>
        <w:t>AVVISO</w:t>
      </w:r>
    </w:p>
    <w:p>
      <w:pPr>
        <w:pStyle w:val="Normal"/>
        <w:ind w:left="2103" w:right="2113" w:hanging="0"/>
        <w:jc w:val="center"/>
        <w:rPr>
          <w:spacing w:val="-9"/>
        </w:rPr>
      </w:pPr>
      <w:r>
        <w:rPr>
          <w:spacing w:val="-9"/>
        </w:rPr>
      </w:r>
    </w:p>
    <w:p>
      <w:pPr>
        <w:pStyle w:val="Normal"/>
        <w:widowControl w:val="false"/>
        <w:suppressAutoHyphens w:val="true"/>
        <w:overflowPunct w:val="true"/>
        <w:bidi w:val="0"/>
        <w:ind w:left="0" w:right="113" w:hanging="0"/>
        <w:jc w:val="both"/>
        <w:rPr/>
      </w:pPr>
      <w:r>
        <w:rPr>
          <w:rFonts w:ascii="Arial" w:hAnsi="Arial"/>
          <w:b/>
          <w:bCs/>
          <w:i w:val="false"/>
          <w:iCs w:val="false"/>
          <w:spacing w:val="-9"/>
          <w:sz w:val="28"/>
          <w:szCs w:val="28"/>
        </w:rPr>
        <w:t>PROROGA DEL TERMINE FINALE PER LA PRESENTAZIONE DI CANDIDATURE PER LA ISTRUTTORIA PUBBLICA DI CO-PROGETTAZIONE FINALIZZATA ALL’USO SOCIALE, NELL'AMBITO DEL PROGETTO “IL BENE CHE VORREI”, DELL’IMMOBILE CONFISCATO ALLA CRIMINALITÀ ORGANIZZATA SITO IN CONTRADA TORTORELLA</w:t>
      </w:r>
      <w:r>
        <w:rPr>
          <w:rStyle w:val="Carpredefinitoparagrafo"/>
          <w:rFonts w:eastAsia="Calibri" w:cs="Times New Roman" w:ascii="Arial" w:hAnsi="Arial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it-IT" w:eastAsia="en-US" w:bidi="ar-SA"/>
        </w:rPr>
        <w:t xml:space="preserve"> </w:t>
      </w:r>
      <w:r>
        <w:rPr>
          <w:rFonts w:ascii="Arial" w:hAnsi="Arial"/>
          <w:b/>
          <w:bCs/>
          <w:i/>
          <w:spacing w:val="-9"/>
          <w:sz w:val="28"/>
          <w:szCs w:val="28"/>
        </w:rPr>
        <w:t xml:space="preserve">   </w:t>
      </w:r>
    </w:p>
    <w:p>
      <w:pPr>
        <w:pStyle w:val="Corpodeltesto"/>
        <w:rPr/>
      </w:pPr>
      <w:r>
        <w:rPr>
          <w:rFonts w:ascii="Arial" w:hAnsi="Arial"/>
          <w:b/>
          <w:bCs/>
          <w:sz w:val="28"/>
          <w:szCs w:val="28"/>
        </w:rPr>
        <w:t xml:space="preserve">  </w:t>
      </w:r>
    </w:p>
    <w:p>
      <w:pPr>
        <w:pStyle w:val="Corpodeltesto"/>
        <w:jc w:val="center"/>
        <w:rPr/>
      </w:pPr>
      <w:r>
        <w:rPr>
          <w:rFonts w:ascii="Arial" w:hAnsi="Arial"/>
          <w:b/>
          <w:bCs/>
          <w:sz w:val="28"/>
          <w:szCs w:val="28"/>
          <w:u w:val="single"/>
        </w:rPr>
        <w:t xml:space="preserve">NUOVA SCADENZA </w:t>
      </w:r>
      <w:r>
        <w:rPr>
          <w:rStyle w:val="Carpredefinitoparagrafo"/>
          <w:rFonts w:eastAsia="Calibri" w:cs="Times New Roman"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single"/>
          <w:lang w:val="it-IT" w:eastAsia="en-US" w:bidi="ar-SA"/>
        </w:rPr>
        <w:t>28 FEBBRAIO 2023</w:t>
      </w:r>
    </w:p>
    <w:p>
      <w:pPr>
        <w:pStyle w:val="Corpodeltes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bidi w:val="0"/>
        <w:spacing w:lineRule="auto" w:line="276" w:before="0" w:after="198"/>
        <w:ind w:left="0" w:right="0" w:hanging="0"/>
        <w:jc w:val="both"/>
        <w:rPr/>
      </w:pPr>
      <w:r>
        <w:rPr>
          <w:rStyle w:val="Carpredefinitoparagrafo"/>
          <w:rFonts w:eastAsia="Calibri" w:cs="Calibri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it-IT" w:eastAsia="ar-SA" w:bidi="ar-SA"/>
        </w:rPr>
        <w:t>Si rende noto che il termine di scadenza per la presentazione delle candidature per partecipare al</w:t>
      </w:r>
      <w:bookmarkStart w:id="2" w:name="__DdeLink__5213_42489712821"/>
      <w:r>
        <w:rPr>
          <w:rStyle w:val="Carpredefinitoparagrafo"/>
          <w:rFonts w:eastAsia="Calibri" w:cs="Calibri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it-IT" w:eastAsia="ar-SA" w:bidi="ar-SA"/>
        </w:rPr>
        <w:t>la istruttoria pubblica di co-progettazione</w:t>
      </w:r>
      <w:bookmarkEnd w:id="2"/>
      <w:r>
        <w:rPr>
          <w:rStyle w:val="Carpredefinitoparagrafo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it-IT" w:eastAsia="en-US" w:bidi="ar-SA"/>
        </w:rPr>
        <w:t xml:space="preserve"> finalizzata al</w:t>
      </w:r>
      <w:r>
        <w:rPr>
          <w:rStyle w:val="Carpredefinitoparagrafo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it-IT" w:eastAsia="ar-SA" w:bidi="ar-SA"/>
        </w:rPr>
        <w:t xml:space="preserve">la gestione ad uso sociale dell’immobile sito in contrada Tortorella trasferito al Comune di Monopoli dalla “Agenzia nazionale per l’amministrazione e la destinazione dei beni sequestrati e confiscati alla criminalita’ organizzata”, originariamente fissato </w:t>
      </w:r>
      <w:r>
        <w:rPr>
          <w:rStyle w:val="Carpredefinitoparagrafo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it-IT" w:eastAsia="ar-SA" w:bidi="ar-SA"/>
        </w:rPr>
        <w:t>al 15 febbraio 2023 è prorogato al 28 febbraio 2023 (ore 24,00).</w:t>
      </w:r>
    </w:p>
    <w:p>
      <w:pPr>
        <w:pStyle w:val="NormalWeb"/>
        <w:bidi w:val="0"/>
        <w:spacing w:lineRule="auto" w:line="276" w:before="0" w:after="198"/>
        <w:ind w:left="0" w:right="0" w:hanging="0"/>
        <w:jc w:val="both"/>
        <w:rPr/>
      </w:pPr>
      <w:r>
        <w:rPr>
          <w:rStyle w:val="Carpredefinitoparagrafo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it-IT" w:eastAsia="ar-SA" w:bidi="ar-SA"/>
        </w:rPr>
        <w:t xml:space="preserve">L’Avviso di istruttoria pubblica di co-progettazione </w:t>
      </w:r>
      <w:r>
        <w:rPr>
          <w:rStyle w:val="Carpredefinitoparagrafo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it-IT" w:eastAsia="en-US" w:bidi="ar-SA"/>
        </w:rPr>
        <w:t xml:space="preserve">indetta con determinazione n. 2065 del 30/12/2022  </w:t>
      </w:r>
      <w:r>
        <w:rPr>
          <w:rStyle w:val="Carpredefinitoparagrafo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it-IT" w:eastAsia="ar-SA" w:bidi="ar-SA"/>
        </w:rPr>
        <w:t>resta invariato e confermato in ogni altra parte.</w:t>
      </w:r>
    </w:p>
    <w:p>
      <w:pPr>
        <w:pStyle w:val="NormalWeb"/>
        <w:bidi w:val="0"/>
        <w:spacing w:lineRule="auto" w:line="276" w:before="0" w:after="198"/>
        <w:ind w:left="0" w:right="0" w:hanging="0"/>
        <w:jc w:val="both"/>
        <w:rPr>
          <w:rStyle w:val="Carpredefinitoparagrafo"/>
          <w:rFonts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it-IT" w:eastAsia="ar-SA" w:bidi="ar-SA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it-IT" w:eastAsia="ar-SA" w:bidi="ar-SA"/>
        </w:rPr>
      </w:r>
    </w:p>
    <w:p>
      <w:pPr>
        <w:pStyle w:val="NormalWeb"/>
        <w:bidi w:val="0"/>
        <w:spacing w:lineRule="auto" w:line="276" w:before="0" w:after="198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F.to il Dirigente della A.O. V</w:t>
      </w:r>
    </w:p>
    <w:p>
      <w:pPr>
        <w:pStyle w:val="NormalWeb"/>
        <w:bidi w:val="0"/>
        <w:spacing w:lineRule="auto" w:line="276" w:before="0" w:after="198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 xml:space="preserve">   Dott. Lorenzo Calabrese</w:t>
      </w:r>
    </w:p>
    <w:p>
      <w:pPr>
        <w:pStyle w:val="NormalWeb"/>
        <w:bidi w:val="0"/>
        <w:spacing w:lineRule="auto" w:line="276" w:before="0" w:after="198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900" w:right="1240" w:header="0" w:top="16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1"/>
  <w:defaultTabStop w:val="720"/>
  <w:autoHyphenation w:val="false"/>
  <w:compat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Trebuchet MS" w:cs="Trebuchet MS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qFormat/>
    <w:pPr>
      <w:ind w:left="235" w:hanging="0"/>
      <w:outlineLvl w:val="0"/>
    </w:pPr>
    <w:rPr>
      <w:rFonts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4a3999"/>
    <w:rPr>
      <w:rFonts w:ascii="Tahoma" w:hAnsi="Tahoma" w:eastAsia="Trebuchet MS"/>
      <w:sz w:val="16"/>
      <w:szCs w:val="16"/>
      <w:lang w:val="it-IT"/>
    </w:rPr>
  </w:style>
  <w:style w:type="character" w:styleId="Carpredefinitoparagrafo" w:customStyle="1">
    <w:name w:val="Car. predefinito paragrafo"/>
    <w:qFormat/>
    <w:rPr/>
  </w:style>
  <w:style w:type="character" w:styleId="Enfasi" w:customStyle="1">
    <w:name w:val="Enfasi"/>
    <w:qFormat/>
    <w:rPr>
      <w:i/>
      <w:iCs/>
    </w:rPr>
  </w:style>
  <w:style w:type="character" w:styleId="Enfasiforte" w:customStyle="1">
    <w:name w:val="Enfasi forte"/>
    <w:qFormat/>
    <w:rPr>
      <w:b/>
      <w:bCs/>
    </w:rPr>
  </w:style>
  <w:style w:type="character" w:styleId="ListLabel1">
    <w:name w:val="ListLabel 1"/>
    <w:qFormat/>
    <w:rPr>
      <w:color w:val="0000FF"/>
      <w:sz w:val="22"/>
      <w:szCs w:val="22"/>
      <w:u w:val="single"/>
    </w:rPr>
  </w:style>
  <w:style w:type="character" w:styleId="ListLabel2">
    <w:name w:val="ListLabel 2"/>
    <w:qFormat/>
    <w:rPr>
      <w:color w:val="0000FF"/>
      <w:sz w:val="22"/>
      <w:szCs w:val="22"/>
      <w:u w:val="single"/>
    </w:rPr>
  </w:style>
  <w:style w:type="character" w:styleId="ListLabel3">
    <w:name w:val="ListLabel 3"/>
    <w:qFormat/>
    <w:rPr>
      <w:rFonts w:eastAsia="Calibri" w:cs="Calibri"/>
      <w:b w:val="false"/>
      <w:bCs w:val="false"/>
      <w:i w:val="false"/>
      <w:iCs/>
      <w:color w:val="0000FF"/>
      <w:sz w:val="22"/>
      <w:szCs w:val="22"/>
      <w:u w:val="single"/>
      <w:lang w:val="it-IT" w:eastAsia="ar-SA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/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qFormat/>
    <w:pPr>
      <w:spacing w:before="85" w:after="0"/>
      <w:ind w:left="2113" w:right="2113" w:hanging="0"/>
      <w:jc w:val="center"/>
    </w:pPr>
    <w:rPr>
      <w:rFonts w:eastAsia="Times New Roman" w:cs="Times New Roman"/>
      <w:b/>
      <w:bCs/>
      <w:sz w:val="36"/>
      <w:szCs w:val="3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>
      <w:ind w:left="595" w:right="115" w:hanging="360"/>
      <w:jc w:val="both"/>
    </w:pPr>
    <w:rPr>
      <w:rFonts w:ascii="Trebuchet MS" w:hAnsi="Trebuchet MS"/>
    </w:rPr>
  </w:style>
  <w:style w:type="paragraph" w:styleId="TableParagraph" w:customStyle="1">
    <w:name w:val="Table Paragraph"/>
    <w:basedOn w:val="Normal"/>
    <w:qFormat/>
    <w:pPr/>
    <w:rPr>
      <w:rFonts w:eastAsia="Times New Roman" w:cs="Times New Roman"/>
    </w:rPr>
  </w:style>
  <w:style w:type="paragraph" w:styleId="Contenutocornice" w:customStyle="1">
    <w:name w:val="Contenuto cornice"/>
    <w:basedOn w:val="Normal"/>
    <w:qFormat/>
    <w:pPr/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Sottotitolo">
    <w:name w:val="Subtitle"/>
    <w:basedOn w:val="Titoloprincipale"/>
    <w:qFormat/>
    <w:pPr>
      <w:spacing w:before="60" w:after="12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a3999"/>
    <w:pPr/>
    <w:rPr>
      <w:rFonts w:ascii="Tahoma" w:hAnsi="Tahoma" w:cs="Tahoma"/>
      <w:sz w:val="16"/>
      <w:szCs w:val="16"/>
    </w:rPr>
  </w:style>
  <w:style w:type="paragraph" w:styleId="WWPredefinito" w:customStyle="1">
    <w:name w:val="WW-Predefinito"/>
    <w:qFormat/>
    <w:pPr>
      <w:widowControl w:val="false"/>
      <w:overflowPunct w:val="false"/>
      <w:bidi w:val="0"/>
      <w:spacing w:lineRule="auto" w:line="276" w:before="0" w:after="200"/>
      <w:ind w:left="0" w:right="0" w:hanging="0"/>
      <w:jc w:val="left"/>
    </w:pPr>
    <w:rPr>
      <w:rFonts w:ascii="Courier New" w:hAnsi="Courier New" w:eastAsia="Liberation Serif" w:cs="Liberation Serif"/>
      <w:color w:val="000000"/>
      <w:kern w:val="2"/>
      <w:sz w:val="20"/>
      <w:szCs w:val="24"/>
      <w:lang w:val="it-IT" w:eastAsia="hi-IN" w:bidi="fa-IR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LibreOffice/6.0.4.2$Windows_X86_64 LibreOffice_project/9b0d9b32d5dcda91d2f1a96dc04c645c450872bf</Application>
  <Pages>1</Pages>
  <Words>150</Words>
  <Characters>937</Characters>
  <CharactersWithSpaces>1102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2021-12-13T13:27:00Z</dcterms:created>
  <dc:creator>Francesca Gieri</dc:creator>
  <dc:description/>
  <dc:language>it-IT</dc:language>
  <cp:lastModifiedBy/>
  <dcterms:modified xsi:type="dcterms:W3CDTF">2023-02-13T12:33:02Z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2021-12-13T00:00:00Z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2021-12-13T00:00:00Z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